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D39F" w14:textId="0C5EA552" w:rsidR="001B4AA3" w:rsidRPr="001B4AA3" w:rsidRDefault="001B4AA3" w:rsidP="001B4AA3">
      <w:r w:rsidRPr="001B4AA3">
        <w:t>As discussed, I have got the prices back from Npower. </w:t>
      </w:r>
    </w:p>
    <w:p w14:paraId="53731FEF" w14:textId="25F9051F" w:rsidR="001B4AA3" w:rsidRPr="001B4AA3" w:rsidRDefault="001B4AA3" w:rsidP="001B4AA3">
      <w:r w:rsidRPr="001B4AA3">
        <w:t xml:space="preserve">The current contracts you’re on are fully fixed contracts, when I spoke with my account manager at Npower they have advised they are now looking and advising doing pass-through contracts as they’re looking to me more cost effective around 2029 and beyond, this is due to the new </w:t>
      </w:r>
      <w:proofErr w:type="spellStart"/>
      <w:r w:rsidRPr="001B4AA3">
        <w:t>TnUOS</w:t>
      </w:r>
      <w:proofErr w:type="spellEnd"/>
      <w:r w:rsidRPr="001B4AA3">
        <w:t xml:space="preserve"> increases being introduced by the government in order to fund the national grid upgrades after a £24 Billion investment. </w:t>
      </w:r>
    </w:p>
    <w:p w14:paraId="59F19D72" w14:textId="5D4630EE" w:rsidR="001B4AA3" w:rsidRPr="001B4AA3" w:rsidRDefault="001B4AA3" w:rsidP="001B4AA3">
      <w:r w:rsidRPr="001B4AA3">
        <w:t>You will still have a fixed unit rate for the wholesale element of the unit rate, then part of it will be passed through, meaning instead of paying a higher rate which would be a fixed price as supplier have a lot of risk built into this, the pass-through means the rates will only increase for that one year period (2029-2030) as the market actual rises accordingly. </w:t>
      </w:r>
    </w:p>
    <w:p w14:paraId="2531FF73" w14:textId="77777777" w:rsidR="001B4AA3" w:rsidRPr="001B4AA3" w:rsidRDefault="001B4AA3" w:rsidP="001B4AA3">
      <w:r w:rsidRPr="001B4AA3">
        <w:t>Please see below:</w:t>
      </w:r>
    </w:p>
    <w:tbl>
      <w:tblPr>
        <w:tblpPr w:leftFromText="180" w:rightFromText="180" w:vertAnchor="text" w:horzAnchor="margin" w:tblpY="326"/>
        <w:tblW w:w="14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27"/>
        <w:gridCol w:w="2058"/>
        <w:gridCol w:w="2882"/>
        <w:gridCol w:w="1224"/>
        <w:gridCol w:w="1455"/>
        <w:gridCol w:w="3317"/>
      </w:tblGrid>
      <w:tr w:rsidR="001B4AA3" w:rsidRPr="001B4AA3" w14:paraId="2123CE22" w14:textId="77777777" w:rsidTr="001B4AA3">
        <w:trPr>
          <w:trHeight w:val="300"/>
        </w:trPr>
        <w:tc>
          <w:tcPr>
            <w:tcW w:w="14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50FD" w14:textId="77777777" w:rsidR="001B4AA3" w:rsidRPr="001B4AA3" w:rsidRDefault="001B4AA3" w:rsidP="001B4AA3">
            <w:r w:rsidRPr="001B4AA3">
              <w:rPr>
                <w:b/>
                <w:bCs/>
              </w:rPr>
              <w:t>Barling Magma - 1050002450713</w:t>
            </w:r>
          </w:p>
        </w:tc>
      </w:tr>
      <w:tr w:rsidR="001B4AA3" w:rsidRPr="001B4AA3" w14:paraId="39D88D0B" w14:textId="77777777" w:rsidTr="001B4AA3">
        <w:trPr>
          <w:trHeight w:val="300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A81E" w14:textId="77777777" w:rsidR="001B4AA3" w:rsidRPr="001B4AA3" w:rsidRDefault="001B4AA3" w:rsidP="001B4AA3">
            <w:r w:rsidRPr="001B4AA3">
              <w:rPr>
                <w:b/>
                <w:bCs/>
              </w:rPr>
              <w:t>Supplier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88D3" w14:textId="77777777" w:rsidR="001B4AA3" w:rsidRPr="001B4AA3" w:rsidRDefault="001B4AA3" w:rsidP="001B4AA3">
            <w:r w:rsidRPr="001B4AA3">
              <w:rPr>
                <w:b/>
                <w:bCs/>
              </w:rPr>
              <w:t>Day Rate (P)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DF4C" w14:textId="77777777" w:rsidR="001B4AA3" w:rsidRPr="001B4AA3" w:rsidRDefault="001B4AA3" w:rsidP="001B4AA3">
            <w:r w:rsidRPr="001B4AA3">
              <w:rPr>
                <w:b/>
                <w:bCs/>
              </w:rPr>
              <w:t>Night Rate (P)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1583" w14:textId="77777777" w:rsidR="001B4AA3" w:rsidRPr="001B4AA3" w:rsidRDefault="001B4AA3" w:rsidP="001B4AA3">
            <w:r w:rsidRPr="001B4AA3">
              <w:rPr>
                <w:b/>
                <w:bCs/>
              </w:rPr>
              <w:t>Standing Charge (P)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378E" w14:textId="77777777" w:rsidR="001B4AA3" w:rsidRPr="001B4AA3" w:rsidRDefault="001B4AA3" w:rsidP="001B4AA3">
            <w:r w:rsidRPr="001B4AA3">
              <w:rPr>
                <w:b/>
                <w:bCs/>
              </w:rPr>
              <w:t>Day 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0AE3" w14:textId="77777777" w:rsidR="001B4AA3" w:rsidRPr="001B4AA3" w:rsidRDefault="001B4AA3" w:rsidP="001B4AA3">
            <w:r w:rsidRPr="001B4AA3">
              <w:rPr>
                <w:b/>
                <w:bCs/>
              </w:rPr>
              <w:t>Night Use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B188" w14:textId="77777777" w:rsidR="001B4AA3" w:rsidRPr="001B4AA3" w:rsidRDefault="001B4AA3" w:rsidP="001B4AA3">
            <w:r w:rsidRPr="001B4AA3">
              <w:rPr>
                <w:b/>
                <w:bCs/>
              </w:rPr>
              <w:t>Estimated Annual Cost</w:t>
            </w:r>
          </w:p>
        </w:tc>
      </w:tr>
      <w:tr w:rsidR="001B4AA3" w:rsidRPr="001B4AA3" w14:paraId="184E0F1D" w14:textId="77777777" w:rsidTr="001B4AA3">
        <w:trPr>
          <w:trHeight w:val="300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A248" w14:textId="77777777" w:rsidR="001B4AA3" w:rsidRPr="001B4AA3" w:rsidRDefault="001B4AA3" w:rsidP="001B4AA3">
            <w:r w:rsidRPr="001B4AA3">
              <w:rPr>
                <w:b/>
                <w:bCs/>
              </w:rPr>
              <w:t>Npower Extension until April 2030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8258" w14:textId="77777777" w:rsidR="001B4AA3" w:rsidRPr="001B4AA3" w:rsidRDefault="001B4AA3" w:rsidP="001B4AA3">
            <w:r w:rsidRPr="001B4AA3">
              <w:rPr>
                <w:b/>
                <w:bCs/>
              </w:rPr>
              <w:t>21.3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29CF" w14:textId="77777777" w:rsidR="001B4AA3" w:rsidRPr="001B4AA3" w:rsidRDefault="001B4AA3" w:rsidP="001B4AA3">
            <w:r w:rsidRPr="001B4AA3">
              <w:rPr>
                <w:b/>
                <w:bCs/>
              </w:rPr>
              <w:t>19.86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BAC0" w14:textId="77777777" w:rsidR="001B4AA3" w:rsidRPr="001B4AA3" w:rsidRDefault="001B4AA3" w:rsidP="001B4AA3">
            <w:r w:rsidRPr="001B4AA3">
              <w:rPr>
                <w:b/>
                <w:bCs/>
              </w:rPr>
              <w:t>57.08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1558" w14:textId="77777777" w:rsidR="001B4AA3" w:rsidRPr="001B4AA3" w:rsidRDefault="001B4AA3" w:rsidP="001B4AA3">
            <w:r w:rsidRPr="001B4AA3">
              <w:rPr>
                <w:b/>
                <w:bCs/>
              </w:rPr>
              <w:t>38281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904A" w14:textId="77777777" w:rsidR="001B4AA3" w:rsidRPr="001B4AA3" w:rsidRDefault="001B4AA3" w:rsidP="001B4AA3">
            <w:r w:rsidRPr="001B4AA3">
              <w:rPr>
                <w:b/>
                <w:bCs/>
              </w:rPr>
              <w:t>12411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06A7" w14:textId="77777777" w:rsidR="001B4AA3" w:rsidRPr="001B4AA3" w:rsidRDefault="001B4AA3" w:rsidP="001B4AA3">
            <w:r w:rsidRPr="001B4AA3">
              <w:rPr>
                <w:b/>
                <w:bCs/>
              </w:rPr>
              <w:t>£10,827</w:t>
            </w:r>
          </w:p>
        </w:tc>
      </w:tr>
      <w:tr w:rsidR="001B4AA3" w:rsidRPr="001B4AA3" w14:paraId="234521F6" w14:textId="77777777" w:rsidTr="001B4AA3">
        <w:trPr>
          <w:trHeight w:val="300"/>
        </w:trPr>
        <w:tc>
          <w:tcPr>
            <w:tcW w:w="21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678DF" w14:textId="77777777" w:rsidR="001B4AA3" w:rsidRPr="001B4AA3" w:rsidRDefault="001B4AA3" w:rsidP="001B4AA3"/>
        </w:tc>
        <w:tc>
          <w:tcPr>
            <w:tcW w:w="1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7B25D" w14:textId="77777777" w:rsidR="001B4AA3" w:rsidRPr="001B4AA3" w:rsidRDefault="001B4AA3" w:rsidP="001B4AA3"/>
        </w:tc>
        <w:tc>
          <w:tcPr>
            <w:tcW w:w="2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29232" w14:textId="77777777" w:rsidR="001B4AA3" w:rsidRPr="001B4AA3" w:rsidRDefault="001B4AA3" w:rsidP="001B4AA3"/>
        </w:tc>
        <w:tc>
          <w:tcPr>
            <w:tcW w:w="28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F5E08" w14:textId="77777777" w:rsidR="001B4AA3" w:rsidRPr="001B4AA3" w:rsidRDefault="001B4AA3" w:rsidP="001B4AA3"/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738E4" w14:textId="77777777" w:rsidR="001B4AA3" w:rsidRPr="001B4AA3" w:rsidRDefault="001B4AA3" w:rsidP="001B4AA3"/>
        </w:tc>
        <w:tc>
          <w:tcPr>
            <w:tcW w:w="14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E5074" w14:textId="77777777" w:rsidR="001B4AA3" w:rsidRPr="001B4AA3" w:rsidRDefault="001B4AA3" w:rsidP="001B4AA3"/>
        </w:tc>
        <w:tc>
          <w:tcPr>
            <w:tcW w:w="3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152DF" w14:textId="77777777" w:rsidR="001B4AA3" w:rsidRPr="001B4AA3" w:rsidRDefault="001B4AA3" w:rsidP="001B4AA3"/>
        </w:tc>
      </w:tr>
      <w:tr w:rsidR="001B4AA3" w:rsidRPr="001B4AA3" w14:paraId="31D361E6" w14:textId="77777777" w:rsidTr="001B4AA3">
        <w:trPr>
          <w:trHeight w:val="300"/>
        </w:trPr>
        <w:tc>
          <w:tcPr>
            <w:tcW w:w="14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920A" w14:textId="77777777" w:rsidR="001B4AA3" w:rsidRPr="001B4AA3" w:rsidRDefault="001B4AA3" w:rsidP="001B4AA3">
            <w:r w:rsidRPr="001B4AA3">
              <w:rPr>
                <w:b/>
                <w:bCs/>
              </w:rPr>
              <w:t>Barling Magma - 1013095337500</w:t>
            </w:r>
          </w:p>
        </w:tc>
      </w:tr>
      <w:tr w:rsidR="001B4AA3" w:rsidRPr="001B4AA3" w14:paraId="5C5C91C4" w14:textId="77777777" w:rsidTr="001B4AA3">
        <w:trPr>
          <w:trHeight w:val="300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8D59" w14:textId="77777777" w:rsidR="001B4AA3" w:rsidRPr="001B4AA3" w:rsidRDefault="001B4AA3" w:rsidP="001B4AA3">
            <w:r w:rsidRPr="001B4AA3">
              <w:rPr>
                <w:b/>
                <w:bCs/>
              </w:rPr>
              <w:t>Supplier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4C2D" w14:textId="77777777" w:rsidR="001B4AA3" w:rsidRPr="001B4AA3" w:rsidRDefault="001B4AA3" w:rsidP="001B4AA3">
            <w:r w:rsidRPr="001B4AA3">
              <w:rPr>
                <w:b/>
                <w:bCs/>
              </w:rPr>
              <w:t>Day Rate (P)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20B4" w14:textId="77777777" w:rsidR="001B4AA3" w:rsidRPr="001B4AA3" w:rsidRDefault="001B4AA3" w:rsidP="001B4AA3">
            <w:r w:rsidRPr="001B4AA3">
              <w:rPr>
                <w:b/>
                <w:bCs/>
              </w:rPr>
              <w:t>Night Rate (P)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88BC" w14:textId="77777777" w:rsidR="001B4AA3" w:rsidRPr="001B4AA3" w:rsidRDefault="001B4AA3" w:rsidP="001B4AA3">
            <w:r w:rsidRPr="001B4AA3">
              <w:rPr>
                <w:b/>
                <w:bCs/>
              </w:rPr>
              <w:t>Standing Charge (P)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6AFE" w14:textId="77777777" w:rsidR="001B4AA3" w:rsidRPr="001B4AA3" w:rsidRDefault="001B4AA3" w:rsidP="001B4AA3">
            <w:r w:rsidRPr="001B4AA3">
              <w:rPr>
                <w:b/>
                <w:bCs/>
              </w:rPr>
              <w:t>Day Use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4BD1" w14:textId="77777777" w:rsidR="001B4AA3" w:rsidRPr="001B4AA3" w:rsidRDefault="001B4AA3" w:rsidP="001B4AA3">
            <w:r w:rsidRPr="001B4AA3">
              <w:rPr>
                <w:b/>
                <w:bCs/>
              </w:rPr>
              <w:t>Night Use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7DF3" w14:textId="77777777" w:rsidR="001B4AA3" w:rsidRPr="001B4AA3" w:rsidRDefault="001B4AA3" w:rsidP="001B4AA3">
            <w:r w:rsidRPr="001B4AA3">
              <w:rPr>
                <w:b/>
                <w:bCs/>
              </w:rPr>
              <w:t>Estimated Annual Cost</w:t>
            </w:r>
          </w:p>
        </w:tc>
      </w:tr>
      <w:tr w:rsidR="001B4AA3" w:rsidRPr="001B4AA3" w14:paraId="51FDB03B" w14:textId="77777777" w:rsidTr="001B4AA3">
        <w:trPr>
          <w:trHeight w:val="300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F8C6" w14:textId="77777777" w:rsidR="001B4AA3" w:rsidRPr="001B4AA3" w:rsidRDefault="001B4AA3" w:rsidP="001B4AA3">
            <w:r w:rsidRPr="001B4AA3">
              <w:rPr>
                <w:b/>
                <w:bCs/>
              </w:rPr>
              <w:t>Npower Extension until April 2030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A556" w14:textId="77777777" w:rsidR="001B4AA3" w:rsidRPr="001B4AA3" w:rsidRDefault="001B4AA3" w:rsidP="001B4AA3">
            <w:r w:rsidRPr="001B4AA3">
              <w:rPr>
                <w:b/>
                <w:bCs/>
              </w:rPr>
              <w:t>20.59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B32C" w14:textId="77777777" w:rsidR="001B4AA3" w:rsidRPr="001B4AA3" w:rsidRDefault="001B4AA3" w:rsidP="001B4AA3">
            <w:r w:rsidRPr="001B4AA3">
              <w:rPr>
                <w:b/>
                <w:bCs/>
              </w:rPr>
              <w:t>18.79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A481" w14:textId="77777777" w:rsidR="001B4AA3" w:rsidRPr="001B4AA3" w:rsidRDefault="001B4AA3" w:rsidP="001B4AA3">
            <w:r w:rsidRPr="001B4AA3">
              <w:rPr>
                <w:b/>
                <w:bCs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DD13" w14:textId="77777777" w:rsidR="001B4AA3" w:rsidRPr="001B4AA3" w:rsidRDefault="001B4AA3" w:rsidP="001B4AA3">
            <w:r w:rsidRPr="001B4AA3">
              <w:rPr>
                <w:b/>
                <w:bCs/>
              </w:rPr>
              <w:t>2239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178A" w14:textId="77777777" w:rsidR="001B4AA3" w:rsidRPr="001B4AA3" w:rsidRDefault="001B4AA3" w:rsidP="001B4AA3">
            <w:r w:rsidRPr="001B4AA3">
              <w:rPr>
                <w:b/>
                <w:bCs/>
              </w:rPr>
              <w:t>2450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E9DE" w14:textId="77777777" w:rsidR="001B4AA3" w:rsidRPr="001B4AA3" w:rsidRDefault="001B4AA3" w:rsidP="001B4AA3">
            <w:r w:rsidRPr="001B4AA3">
              <w:rPr>
                <w:b/>
                <w:bCs/>
              </w:rPr>
              <w:t>£921</w:t>
            </w:r>
          </w:p>
        </w:tc>
      </w:tr>
    </w:tbl>
    <w:p w14:paraId="0A21B1E0" w14:textId="77777777" w:rsidR="001B4AA3" w:rsidRPr="001B4AA3" w:rsidRDefault="001B4AA3" w:rsidP="001B4AA3">
      <w:r w:rsidRPr="001B4AA3">
        <w:t> </w:t>
      </w:r>
    </w:p>
    <w:p w14:paraId="533FC5C1" w14:textId="77777777" w:rsidR="001B4AA3" w:rsidRPr="001B4AA3" w:rsidRDefault="001B4AA3" w:rsidP="001B4AA3">
      <w:r w:rsidRPr="001B4AA3">
        <w:t> </w:t>
      </w:r>
    </w:p>
    <w:p w14:paraId="1B634631" w14:textId="68CFFCEA" w:rsidR="001B4AA3" w:rsidRPr="001B4AA3" w:rsidRDefault="001B4AA3" w:rsidP="001B4AA3">
      <w:r w:rsidRPr="001B4AA3">
        <w:t xml:space="preserve">Please be aware these do not include some elements such as the </w:t>
      </w:r>
      <w:proofErr w:type="spellStart"/>
      <w:r w:rsidRPr="001B4AA3">
        <w:t>TnUOS</w:t>
      </w:r>
      <w:proofErr w:type="spellEnd"/>
      <w:r w:rsidRPr="001B4AA3">
        <w:t xml:space="preserve"> charges (mentioned above). These are passed through so will increase in line with what these </w:t>
      </w:r>
      <w:proofErr w:type="gramStart"/>
      <w:r w:rsidRPr="001B4AA3">
        <w:t>actually increase</w:t>
      </w:r>
      <w:proofErr w:type="gramEnd"/>
      <w:r w:rsidRPr="001B4AA3">
        <w:t xml:space="preserve"> too – Your standing charge </w:t>
      </w:r>
      <w:proofErr w:type="spellStart"/>
      <w:r w:rsidRPr="001B4AA3">
        <w:t>ans</w:t>
      </w:r>
      <w:proofErr w:type="spellEnd"/>
      <w:r w:rsidRPr="001B4AA3">
        <w:t xml:space="preserve"> unit rate will be very similar to what you will be paying for what we previously set up with Sandra. </w:t>
      </w:r>
    </w:p>
    <w:p w14:paraId="08AFFA3C" w14:textId="0E2690C6" w:rsidR="002C77D7" w:rsidRDefault="001B4AA3">
      <w:r w:rsidRPr="001B4AA3">
        <w:t>Let me know if you have any questions at all.</w:t>
      </w:r>
    </w:p>
    <w:sectPr w:rsidR="002C77D7" w:rsidSect="001B4A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3"/>
    <w:rsid w:val="001B4AA3"/>
    <w:rsid w:val="002C77D7"/>
    <w:rsid w:val="008E2E5B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E2F5"/>
  <w15:chartTrackingRefBased/>
  <w15:docId w15:val="{E1AA130F-F50D-456F-872B-9FC1F592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B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1333</Characters>
  <Application>Microsoft Office Word</Application>
  <DocSecurity>0</DocSecurity>
  <Lines>57</Lines>
  <Paragraphs>43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2025-11-03T08:32:00Z</dcterms:created>
  <dcterms:modified xsi:type="dcterms:W3CDTF">2025-11-03T08:34:00Z</dcterms:modified>
</cp:coreProperties>
</file>