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ED73" w14:textId="7E9EA563" w:rsidR="002C77D7" w:rsidRDefault="0082544A" w:rsidP="0082544A">
      <w:pPr>
        <w:jc w:val="center"/>
        <w:rPr>
          <w:b/>
          <w:bCs/>
          <w:sz w:val="32"/>
          <w:szCs w:val="32"/>
          <w:u w:val="single"/>
        </w:rPr>
      </w:pPr>
      <w:r>
        <w:rPr>
          <w:b/>
          <w:bCs/>
          <w:sz w:val="32"/>
          <w:szCs w:val="32"/>
          <w:u w:val="single"/>
        </w:rPr>
        <w:t xml:space="preserve">Report to Barling Magna and Sutton Parish Councils. </w:t>
      </w:r>
    </w:p>
    <w:p w14:paraId="3885EEB3" w14:textId="2899312F" w:rsidR="0082544A" w:rsidRDefault="0082544A" w:rsidP="0082544A">
      <w:pPr>
        <w:jc w:val="center"/>
        <w:rPr>
          <w:b/>
          <w:bCs/>
          <w:sz w:val="32"/>
          <w:szCs w:val="32"/>
        </w:rPr>
      </w:pPr>
      <w:r>
        <w:rPr>
          <w:b/>
          <w:bCs/>
          <w:sz w:val="32"/>
          <w:szCs w:val="32"/>
        </w:rPr>
        <w:t>Neighbourhood plans vs Rural Exception sites</w:t>
      </w:r>
    </w:p>
    <w:p w14:paraId="6974C0B1" w14:textId="77777777" w:rsidR="0082544A" w:rsidRDefault="0082544A" w:rsidP="0082544A">
      <w:pPr>
        <w:rPr>
          <w:b/>
          <w:bCs/>
          <w:sz w:val="32"/>
          <w:szCs w:val="32"/>
        </w:rPr>
      </w:pPr>
    </w:p>
    <w:p w14:paraId="1312C853" w14:textId="66CB801A" w:rsidR="0082544A" w:rsidRDefault="0082544A" w:rsidP="0082544A">
      <w:pPr>
        <w:rPr>
          <w:b/>
          <w:bCs/>
          <w:sz w:val="28"/>
          <w:szCs w:val="28"/>
        </w:rPr>
      </w:pPr>
      <w:r>
        <w:rPr>
          <w:b/>
          <w:bCs/>
          <w:sz w:val="28"/>
          <w:szCs w:val="28"/>
        </w:rPr>
        <w:t xml:space="preserve">Introduction </w:t>
      </w:r>
    </w:p>
    <w:p w14:paraId="60784BF2" w14:textId="6DACD414" w:rsidR="0082544A" w:rsidRDefault="0082544A" w:rsidP="0082544A">
      <w:pPr>
        <w:rPr>
          <w:sz w:val="24"/>
          <w:szCs w:val="24"/>
        </w:rPr>
      </w:pPr>
      <w:r>
        <w:rPr>
          <w:sz w:val="24"/>
          <w:szCs w:val="24"/>
        </w:rPr>
        <w:t>This report explains the difference between Neighbourhood plans and Rural Exception Sites as discussed during our meeting on 30</w:t>
      </w:r>
      <w:r w:rsidRPr="0082544A">
        <w:rPr>
          <w:sz w:val="24"/>
          <w:szCs w:val="24"/>
          <w:vertAlign w:val="superscript"/>
        </w:rPr>
        <w:t>th</w:t>
      </w:r>
      <w:r>
        <w:rPr>
          <w:sz w:val="24"/>
          <w:szCs w:val="24"/>
        </w:rPr>
        <w:t xml:space="preserve"> March 2026 with RCCE representatives. It provides locally relevant housing information and planning policy context. </w:t>
      </w:r>
    </w:p>
    <w:p w14:paraId="2D2210D5" w14:textId="21BCAE5C" w:rsidR="0082544A" w:rsidRDefault="0082544A" w:rsidP="0082544A">
      <w:pPr>
        <w:rPr>
          <w:b/>
          <w:bCs/>
          <w:sz w:val="28"/>
          <w:szCs w:val="28"/>
        </w:rPr>
      </w:pPr>
      <w:r>
        <w:rPr>
          <w:b/>
          <w:bCs/>
          <w:sz w:val="28"/>
          <w:szCs w:val="28"/>
        </w:rPr>
        <w:t>Local housing context – Barling Magna and Sutton with Shopland</w:t>
      </w:r>
    </w:p>
    <w:p w14:paraId="7F6640FD" w14:textId="54CC73D7" w:rsidR="0082544A" w:rsidRDefault="0082544A" w:rsidP="0082544A">
      <w:pPr>
        <w:rPr>
          <w:b/>
          <w:bCs/>
          <w:sz w:val="24"/>
          <w:szCs w:val="24"/>
        </w:rPr>
      </w:pPr>
      <w:r>
        <w:rPr>
          <w:b/>
          <w:bCs/>
          <w:sz w:val="24"/>
          <w:szCs w:val="24"/>
        </w:rPr>
        <w:t xml:space="preserve">Population and </w:t>
      </w:r>
      <w:r w:rsidR="00387615">
        <w:rPr>
          <w:b/>
          <w:bCs/>
          <w:sz w:val="24"/>
          <w:szCs w:val="24"/>
        </w:rPr>
        <w:t>housing market characteristics.</w:t>
      </w:r>
    </w:p>
    <w:p w14:paraId="41EE41C3" w14:textId="7E7DBC7A" w:rsidR="0082544A" w:rsidRDefault="0082544A" w:rsidP="0082544A">
      <w:pPr>
        <w:pStyle w:val="ListParagraph"/>
        <w:numPr>
          <w:ilvl w:val="0"/>
          <w:numId w:val="1"/>
        </w:numPr>
        <w:rPr>
          <w:sz w:val="24"/>
          <w:szCs w:val="24"/>
        </w:rPr>
      </w:pPr>
      <w:r w:rsidRPr="0082544A">
        <w:rPr>
          <w:sz w:val="24"/>
          <w:szCs w:val="24"/>
        </w:rPr>
        <w:t xml:space="preserve">Barling magna is a small rural parish, population estimated at 2000 residents. </w:t>
      </w:r>
    </w:p>
    <w:p w14:paraId="27729736" w14:textId="42B23AC5" w:rsidR="0082544A" w:rsidRDefault="0082544A" w:rsidP="0082544A">
      <w:pPr>
        <w:pStyle w:val="ListParagraph"/>
        <w:numPr>
          <w:ilvl w:val="0"/>
          <w:numId w:val="1"/>
        </w:numPr>
        <w:rPr>
          <w:sz w:val="24"/>
          <w:szCs w:val="24"/>
        </w:rPr>
      </w:pPr>
      <w:r>
        <w:rPr>
          <w:sz w:val="24"/>
          <w:szCs w:val="24"/>
        </w:rPr>
        <w:t>Sutton with Shopland is a very small rural parish, population estimated under 600 residents.</w:t>
      </w:r>
    </w:p>
    <w:p w14:paraId="7A1D8E51" w14:textId="7238FD36" w:rsidR="0082544A" w:rsidRDefault="0082544A" w:rsidP="0082544A">
      <w:pPr>
        <w:pStyle w:val="ListParagraph"/>
        <w:numPr>
          <w:ilvl w:val="0"/>
          <w:numId w:val="1"/>
        </w:numPr>
        <w:rPr>
          <w:sz w:val="24"/>
          <w:szCs w:val="24"/>
        </w:rPr>
      </w:pPr>
      <w:r>
        <w:rPr>
          <w:sz w:val="24"/>
          <w:szCs w:val="24"/>
        </w:rPr>
        <w:t xml:space="preserve">Both Parishes predominantly consist of owner-occupied houses. </w:t>
      </w:r>
    </w:p>
    <w:p w14:paraId="7E35DC91" w14:textId="56FAC070" w:rsidR="00387615" w:rsidRDefault="00387615" w:rsidP="0082544A">
      <w:pPr>
        <w:pStyle w:val="ListParagraph"/>
        <w:numPr>
          <w:ilvl w:val="0"/>
          <w:numId w:val="1"/>
        </w:numPr>
        <w:rPr>
          <w:sz w:val="24"/>
          <w:szCs w:val="24"/>
        </w:rPr>
      </w:pPr>
      <w:r>
        <w:rPr>
          <w:sz w:val="24"/>
          <w:szCs w:val="24"/>
        </w:rPr>
        <w:t xml:space="preserve">Affordability pressures are present, average house prices in the wider district are higher than many local incomes, making it difficult for local people on lower incomes to access suitable housing. </w:t>
      </w:r>
    </w:p>
    <w:p w14:paraId="04AE90EF" w14:textId="75010E20" w:rsidR="00387615" w:rsidRDefault="00387615" w:rsidP="00387615">
      <w:pPr>
        <w:rPr>
          <w:b/>
          <w:bCs/>
          <w:sz w:val="28"/>
          <w:szCs w:val="28"/>
        </w:rPr>
      </w:pPr>
      <w:r>
        <w:rPr>
          <w:b/>
          <w:bCs/>
          <w:sz w:val="28"/>
          <w:szCs w:val="28"/>
        </w:rPr>
        <w:t>Neighbourhood plans – purpose, timescale and local policy context</w:t>
      </w:r>
    </w:p>
    <w:p w14:paraId="38C3D0D3" w14:textId="051BC2E8" w:rsidR="00387615" w:rsidRDefault="00387615" w:rsidP="00387615">
      <w:pPr>
        <w:rPr>
          <w:b/>
          <w:bCs/>
          <w:sz w:val="24"/>
          <w:szCs w:val="24"/>
        </w:rPr>
      </w:pPr>
      <w:r>
        <w:rPr>
          <w:b/>
          <w:bCs/>
          <w:sz w:val="24"/>
          <w:szCs w:val="24"/>
        </w:rPr>
        <w:t xml:space="preserve">What a neighbourhood plan does </w:t>
      </w:r>
    </w:p>
    <w:p w14:paraId="48987FCE" w14:textId="20775598" w:rsidR="00387615" w:rsidRDefault="00387615" w:rsidP="00387615">
      <w:pPr>
        <w:rPr>
          <w:sz w:val="24"/>
          <w:szCs w:val="24"/>
        </w:rPr>
      </w:pPr>
      <w:r>
        <w:rPr>
          <w:sz w:val="24"/>
          <w:szCs w:val="24"/>
        </w:rPr>
        <w:t>A neighbourhood plan is a statutory planning document prepared by a parish or town council if made it becomes p</w:t>
      </w:r>
      <w:r w:rsidR="00C40FF9">
        <w:rPr>
          <w:sz w:val="24"/>
          <w:szCs w:val="24"/>
        </w:rPr>
        <w:t>a</w:t>
      </w:r>
      <w:r>
        <w:rPr>
          <w:sz w:val="24"/>
          <w:szCs w:val="24"/>
        </w:rPr>
        <w:t xml:space="preserve">rt of the formal planning framework which must be used when making planning decisions. </w:t>
      </w:r>
    </w:p>
    <w:p w14:paraId="6743A08E" w14:textId="34C52BE5" w:rsidR="00387615" w:rsidRDefault="00387615" w:rsidP="00387615">
      <w:pPr>
        <w:rPr>
          <w:sz w:val="24"/>
          <w:szCs w:val="24"/>
        </w:rPr>
      </w:pPr>
      <w:r>
        <w:rPr>
          <w:sz w:val="24"/>
          <w:szCs w:val="24"/>
        </w:rPr>
        <w:t xml:space="preserve">It allows a community to: </w:t>
      </w:r>
    </w:p>
    <w:p w14:paraId="6988596C" w14:textId="77777777" w:rsidR="00C40FF9" w:rsidRDefault="00C40FF9" w:rsidP="00C40FF9">
      <w:pPr>
        <w:pStyle w:val="ListParagraph"/>
        <w:numPr>
          <w:ilvl w:val="0"/>
          <w:numId w:val="4"/>
        </w:numPr>
        <w:rPr>
          <w:sz w:val="24"/>
          <w:szCs w:val="24"/>
        </w:rPr>
      </w:pPr>
      <w:r w:rsidRPr="00C40FF9">
        <w:rPr>
          <w:sz w:val="24"/>
          <w:szCs w:val="24"/>
        </w:rPr>
        <w:t xml:space="preserve">Develop locally specific planning policies </w:t>
      </w:r>
    </w:p>
    <w:p w14:paraId="7A0FD59C" w14:textId="53B43EFB" w:rsidR="00C40FF9" w:rsidRDefault="00C40FF9" w:rsidP="00C40FF9">
      <w:pPr>
        <w:pStyle w:val="ListParagraph"/>
        <w:numPr>
          <w:ilvl w:val="0"/>
          <w:numId w:val="4"/>
        </w:numPr>
        <w:rPr>
          <w:sz w:val="24"/>
          <w:szCs w:val="24"/>
        </w:rPr>
      </w:pPr>
      <w:r>
        <w:rPr>
          <w:sz w:val="24"/>
          <w:szCs w:val="24"/>
        </w:rPr>
        <w:t xml:space="preserve">Influence design, layout and character development </w:t>
      </w:r>
    </w:p>
    <w:p w14:paraId="09657DAE" w14:textId="7452FA5D" w:rsidR="00C40FF9" w:rsidRDefault="00C40FF9" w:rsidP="00C40FF9">
      <w:pPr>
        <w:pStyle w:val="ListParagraph"/>
        <w:numPr>
          <w:ilvl w:val="0"/>
          <w:numId w:val="4"/>
        </w:numPr>
        <w:rPr>
          <w:sz w:val="24"/>
          <w:szCs w:val="24"/>
        </w:rPr>
      </w:pPr>
      <w:r>
        <w:rPr>
          <w:sz w:val="24"/>
          <w:szCs w:val="24"/>
        </w:rPr>
        <w:t xml:space="preserve">Introduce design codes </w:t>
      </w:r>
    </w:p>
    <w:p w14:paraId="0D14A7F0" w14:textId="5A4B5991" w:rsidR="00C40FF9" w:rsidRPr="00C40FF9" w:rsidRDefault="00C40FF9" w:rsidP="00C40FF9">
      <w:pPr>
        <w:pStyle w:val="ListParagraph"/>
        <w:numPr>
          <w:ilvl w:val="0"/>
          <w:numId w:val="4"/>
        </w:numPr>
        <w:rPr>
          <w:sz w:val="24"/>
          <w:szCs w:val="24"/>
        </w:rPr>
      </w:pPr>
      <w:r>
        <w:rPr>
          <w:sz w:val="24"/>
          <w:szCs w:val="24"/>
        </w:rPr>
        <w:t xml:space="preserve">Potentially allocate sites subject to evidence and conformity </w:t>
      </w:r>
    </w:p>
    <w:p w14:paraId="439D0E58" w14:textId="09785CAF" w:rsidR="00387615" w:rsidRDefault="00387615" w:rsidP="00387615">
      <w:pPr>
        <w:rPr>
          <w:sz w:val="24"/>
          <w:szCs w:val="24"/>
        </w:rPr>
      </w:pPr>
      <w:r>
        <w:rPr>
          <w:sz w:val="24"/>
          <w:szCs w:val="24"/>
        </w:rPr>
        <w:t xml:space="preserve">However: </w:t>
      </w:r>
    </w:p>
    <w:p w14:paraId="7827E289" w14:textId="3BA7B01B" w:rsidR="00387615" w:rsidRDefault="00387615" w:rsidP="00387615">
      <w:pPr>
        <w:pStyle w:val="ListParagraph"/>
        <w:numPr>
          <w:ilvl w:val="0"/>
          <w:numId w:val="3"/>
        </w:numPr>
        <w:rPr>
          <w:sz w:val="24"/>
          <w:szCs w:val="24"/>
        </w:rPr>
      </w:pPr>
      <w:r>
        <w:rPr>
          <w:sz w:val="24"/>
          <w:szCs w:val="24"/>
        </w:rPr>
        <w:t xml:space="preserve">It cannot prevent development that is already allocated in the higher-level local plan. It must conform to national policy (national planning policy framework) and the emerging RDC local plan. </w:t>
      </w:r>
    </w:p>
    <w:p w14:paraId="66EE46D1" w14:textId="05278087" w:rsidR="00387615" w:rsidRDefault="00387615" w:rsidP="00387615">
      <w:pPr>
        <w:pStyle w:val="ListParagraph"/>
        <w:numPr>
          <w:ilvl w:val="0"/>
          <w:numId w:val="3"/>
        </w:numPr>
        <w:rPr>
          <w:sz w:val="24"/>
          <w:szCs w:val="24"/>
        </w:rPr>
      </w:pPr>
      <w:r>
        <w:rPr>
          <w:sz w:val="24"/>
          <w:szCs w:val="24"/>
        </w:rPr>
        <w:t xml:space="preserve">It does not itself deliver housing; delivery itself still depends on developers and planning approvals. </w:t>
      </w:r>
    </w:p>
    <w:p w14:paraId="5397B063" w14:textId="77777777" w:rsidR="00387615" w:rsidRDefault="00387615" w:rsidP="00387615">
      <w:pPr>
        <w:rPr>
          <w:sz w:val="24"/>
          <w:szCs w:val="24"/>
        </w:rPr>
      </w:pPr>
    </w:p>
    <w:p w14:paraId="0882DC3A" w14:textId="77777777" w:rsidR="00C40FF9" w:rsidRDefault="00C40FF9" w:rsidP="00387615">
      <w:pPr>
        <w:rPr>
          <w:sz w:val="24"/>
          <w:szCs w:val="24"/>
        </w:rPr>
      </w:pPr>
    </w:p>
    <w:p w14:paraId="19AF4A92" w14:textId="17B7FD73" w:rsidR="00A41D7F" w:rsidRDefault="00A41D7F" w:rsidP="00387615">
      <w:pPr>
        <w:rPr>
          <w:b/>
          <w:bCs/>
          <w:sz w:val="24"/>
          <w:szCs w:val="24"/>
        </w:rPr>
      </w:pPr>
      <w:r>
        <w:rPr>
          <w:b/>
          <w:bCs/>
          <w:sz w:val="24"/>
          <w:szCs w:val="24"/>
        </w:rPr>
        <w:lastRenderedPageBreak/>
        <w:t xml:space="preserve">Timescale and cost </w:t>
      </w:r>
    </w:p>
    <w:p w14:paraId="0878E27A" w14:textId="658BE48D" w:rsidR="00A41D7F" w:rsidRDefault="00A41D7F" w:rsidP="00387615">
      <w:pPr>
        <w:rPr>
          <w:sz w:val="24"/>
          <w:szCs w:val="24"/>
        </w:rPr>
      </w:pPr>
      <w:r>
        <w:rPr>
          <w:sz w:val="24"/>
          <w:szCs w:val="24"/>
        </w:rPr>
        <w:t xml:space="preserve">Timescale – shortest feasible time 20 months, typically will take between 3-4 years from initiation to adoption that including consultations, examinations and referendum. </w:t>
      </w:r>
    </w:p>
    <w:p w14:paraId="563AB620" w14:textId="77777777" w:rsidR="00A41D7F" w:rsidRDefault="00A41D7F" w:rsidP="00387615">
      <w:pPr>
        <w:rPr>
          <w:sz w:val="24"/>
          <w:szCs w:val="24"/>
        </w:rPr>
      </w:pPr>
      <w:r>
        <w:rPr>
          <w:sz w:val="24"/>
          <w:szCs w:val="24"/>
        </w:rPr>
        <w:t xml:space="preserve">Cost usually £20,000 + approximately £10,000 per Parish, including technical evidence, consultations, design coding and legal costs. No government funding is available at present. </w:t>
      </w:r>
    </w:p>
    <w:p w14:paraId="69B63B7C" w14:textId="77777777" w:rsidR="00A41D7F" w:rsidRDefault="00A41D7F" w:rsidP="00387615">
      <w:pPr>
        <w:rPr>
          <w:sz w:val="24"/>
          <w:szCs w:val="24"/>
        </w:rPr>
      </w:pPr>
      <w:r>
        <w:rPr>
          <w:sz w:val="24"/>
          <w:szCs w:val="24"/>
        </w:rPr>
        <w:t xml:space="preserve">Neighbourhood Design codes can help influence the form and aesthetics of future development but cannot veto development required by the districts housing strategy or allocations. </w:t>
      </w:r>
    </w:p>
    <w:p w14:paraId="104B411E" w14:textId="3DEB811C" w:rsidR="00C40FF9" w:rsidRDefault="00C40FF9" w:rsidP="00387615">
      <w:pPr>
        <w:rPr>
          <w:sz w:val="24"/>
          <w:szCs w:val="24"/>
        </w:rPr>
      </w:pPr>
      <w:r>
        <w:rPr>
          <w:sz w:val="24"/>
          <w:szCs w:val="24"/>
        </w:rPr>
        <w:t xml:space="preserve">Cost based on officer guidance - £7000 - £9000, this includes consultant led and parish wide consultation. </w:t>
      </w:r>
    </w:p>
    <w:p w14:paraId="286F32EE" w14:textId="77777777" w:rsidR="00A41D7F" w:rsidRDefault="00A41D7F" w:rsidP="00387615">
      <w:pPr>
        <w:rPr>
          <w:b/>
          <w:bCs/>
          <w:sz w:val="28"/>
          <w:szCs w:val="28"/>
        </w:rPr>
      </w:pPr>
      <w:r>
        <w:rPr>
          <w:b/>
          <w:bCs/>
          <w:sz w:val="28"/>
          <w:szCs w:val="28"/>
        </w:rPr>
        <w:t xml:space="preserve">Rural exception sites – purpose, delivery and local policy context. </w:t>
      </w:r>
    </w:p>
    <w:p w14:paraId="0B3A1D8D" w14:textId="77777777" w:rsidR="00A41D7F" w:rsidRDefault="00A41D7F" w:rsidP="00387615">
      <w:pPr>
        <w:rPr>
          <w:b/>
          <w:bCs/>
          <w:sz w:val="24"/>
          <w:szCs w:val="24"/>
        </w:rPr>
      </w:pPr>
      <w:r>
        <w:rPr>
          <w:b/>
          <w:bCs/>
          <w:sz w:val="24"/>
          <w:szCs w:val="24"/>
        </w:rPr>
        <w:t>What a rural Exception site is</w:t>
      </w:r>
    </w:p>
    <w:p w14:paraId="2023E6DE" w14:textId="1C57C2DA" w:rsidR="00A41D7F" w:rsidRPr="00A41D7F" w:rsidRDefault="00A41D7F" w:rsidP="00387615">
      <w:pPr>
        <w:rPr>
          <w:sz w:val="24"/>
          <w:szCs w:val="24"/>
        </w:rPr>
      </w:pPr>
      <w:r>
        <w:rPr>
          <w:sz w:val="24"/>
          <w:szCs w:val="24"/>
        </w:rPr>
        <w:t xml:space="preserve">A rural exception site is a planning mechanism that allows affordable housing development on land that would normally not be released for housing. Its purpose is to deliver housing that directly meets identified local housing need. Typically for residents with a local connection. </w:t>
      </w:r>
      <w:r>
        <w:rPr>
          <w:b/>
          <w:bCs/>
          <w:sz w:val="24"/>
          <w:szCs w:val="24"/>
        </w:rPr>
        <w:t xml:space="preserve"> </w:t>
      </w:r>
      <w:r>
        <w:rPr>
          <w:sz w:val="24"/>
          <w:szCs w:val="24"/>
        </w:rPr>
        <w:t xml:space="preserve"> </w:t>
      </w:r>
    </w:p>
    <w:p w14:paraId="02035265" w14:textId="18557CA1" w:rsidR="0082544A" w:rsidRDefault="00A41D7F" w:rsidP="0082544A">
      <w:pPr>
        <w:rPr>
          <w:sz w:val="24"/>
          <w:szCs w:val="24"/>
        </w:rPr>
      </w:pPr>
      <w:r>
        <w:rPr>
          <w:sz w:val="24"/>
          <w:szCs w:val="24"/>
        </w:rPr>
        <w:t xml:space="preserve">These sites are excepted from normal planning restrictions because they address a specific need, they are usually small in scale, provide affordable housing usually around 80% of open market value, subject to policy and viability, are normally retained in perpetuity by a housing association and not sold to tenants and work best in parishes where population size and settlement character are more rural. </w:t>
      </w:r>
    </w:p>
    <w:p w14:paraId="2A0D7E39" w14:textId="0801D21B" w:rsidR="00A41D7F" w:rsidRDefault="00C40FF9" w:rsidP="0082544A">
      <w:pPr>
        <w:rPr>
          <w:b/>
          <w:bCs/>
          <w:sz w:val="24"/>
          <w:szCs w:val="24"/>
        </w:rPr>
      </w:pPr>
      <w:r>
        <w:rPr>
          <w:b/>
          <w:bCs/>
          <w:sz w:val="24"/>
          <w:szCs w:val="24"/>
        </w:rPr>
        <w:t xml:space="preserve">Cost and delivery </w:t>
      </w:r>
    </w:p>
    <w:p w14:paraId="3E468CF0" w14:textId="2AA3F064" w:rsidR="00C40FF9" w:rsidRDefault="00C40FF9" w:rsidP="0082544A">
      <w:pPr>
        <w:rPr>
          <w:sz w:val="24"/>
          <w:szCs w:val="24"/>
        </w:rPr>
      </w:pPr>
      <w:r>
        <w:rPr>
          <w:sz w:val="24"/>
          <w:szCs w:val="24"/>
        </w:rPr>
        <w:t>Cost – estimated cost £3,000</w:t>
      </w:r>
    </w:p>
    <w:p w14:paraId="24802379" w14:textId="14FDDE77" w:rsidR="00C40FF9" w:rsidRDefault="00C40FF9" w:rsidP="0082544A">
      <w:pPr>
        <w:rPr>
          <w:sz w:val="24"/>
          <w:szCs w:val="24"/>
        </w:rPr>
      </w:pPr>
      <w:r>
        <w:rPr>
          <w:sz w:val="24"/>
          <w:szCs w:val="24"/>
        </w:rPr>
        <w:t xml:space="preserve">Timescale – typically shorter than a neighbourhood plan </w:t>
      </w:r>
    </w:p>
    <w:p w14:paraId="09F603EC" w14:textId="77777777" w:rsidR="00C40FF9" w:rsidRDefault="00C40FF9" w:rsidP="0082544A">
      <w:pPr>
        <w:rPr>
          <w:sz w:val="24"/>
          <w:szCs w:val="24"/>
        </w:rPr>
      </w:pPr>
    </w:p>
    <w:p w14:paraId="4BE3C323" w14:textId="42EDD10C" w:rsidR="00C40FF9" w:rsidRDefault="00C40FF9" w:rsidP="0082544A">
      <w:pPr>
        <w:rPr>
          <w:b/>
          <w:bCs/>
          <w:sz w:val="28"/>
          <w:szCs w:val="28"/>
        </w:rPr>
      </w:pPr>
      <w:r>
        <w:rPr>
          <w:b/>
          <w:bCs/>
          <w:sz w:val="28"/>
          <w:szCs w:val="28"/>
        </w:rPr>
        <w:t xml:space="preserve">Key differences summary </w:t>
      </w:r>
    </w:p>
    <w:tbl>
      <w:tblPr>
        <w:tblStyle w:val="TableGrid"/>
        <w:tblW w:w="0" w:type="auto"/>
        <w:tblLook w:val="04A0" w:firstRow="1" w:lastRow="0" w:firstColumn="1" w:lastColumn="0" w:noHBand="0" w:noVBand="1"/>
      </w:tblPr>
      <w:tblGrid>
        <w:gridCol w:w="3005"/>
        <w:gridCol w:w="3005"/>
        <w:gridCol w:w="3006"/>
      </w:tblGrid>
      <w:tr w:rsidR="00C40FF9" w:rsidRPr="00C40FF9" w14:paraId="72D97F36" w14:textId="77777777" w:rsidTr="00C40FF9">
        <w:tc>
          <w:tcPr>
            <w:tcW w:w="3005" w:type="dxa"/>
          </w:tcPr>
          <w:p w14:paraId="3A6EA68C" w14:textId="3DFFD280" w:rsidR="00C40FF9" w:rsidRPr="00C40FF9" w:rsidRDefault="00C40FF9" w:rsidP="0082544A">
            <w:pPr>
              <w:rPr>
                <w:b/>
                <w:bCs/>
                <w:sz w:val="24"/>
                <w:szCs w:val="24"/>
              </w:rPr>
            </w:pPr>
            <w:r w:rsidRPr="00C40FF9">
              <w:rPr>
                <w:b/>
                <w:bCs/>
                <w:sz w:val="24"/>
                <w:szCs w:val="24"/>
              </w:rPr>
              <w:t xml:space="preserve">Criteria </w:t>
            </w:r>
          </w:p>
        </w:tc>
        <w:tc>
          <w:tcPr>
            <w:tcW w:w="3005" w:type="dxa"/>
          </w:tcPr>
          <w:p w14:paraId="41F82386" w14:textId="68F169FA" w:rsidR="00C40FF9" w:rsidRPr="00C40FF9" w:rsidRDefault="00C40FF9" w:rsidP="0082544A">
            <w:pPr>
              <w:rPr>
                <w:b/>
                <w:bCs/>
                <w:sz w:val="24"/>
                <w:szCs w:val="24"/>
              </w:rPr>
            </w:pPr>
            <w:r>
              <w:rPr>
                <w:b/>
                <w:bCs/>
                <w:sz w:val="24"/>
                <w:szCs w:val="24"/>
              </w:rPr>
              <w:t xml:space="preserve">Neighbourhood Plan </w:t>
            </w:r>
          </w:p>
        </w:tc>
        <w:tc>
          <w:tcPr>
            <w:tcW w:w="3006" w:type="dxa"/>
          </w:tcPr>
          <w:p w14:paraId="67779D46" w14:textId="070D122B" w:rsidR="00C40FF9" w:rsidRPr="00C40FF9" w:rsidRDefault="00C40FF9" w:rsidP="0082544A">
            <w:pPr>
              <w:rPr>
                <w:b/>
                <w:bCs/>
                <w:sz w:val="24"/>
                <w:szCs w:val="24"/>
              </w:rPr>
            </w:pPr>
            <w:r>
              <w:rPr>
                <w:b/>
                <w:bCs/>
                <w:sz w:val="24"/>
                <w:szCs w:val="24"/>
              </w:rPr>
              <w:t xml:space="preserve">Rural Exception Site </w:t>
            </w:r>
          </w:p>
        </w:tc>
      </w:tr>
      <w:tr w:rsidR="00C40FF9" w:rsidRPr="00C40FF9" w14:paraId="1C698751" w14:textId="77777777" w:rsidTr="00C40FF9">
        <w:tc>
          <w:tcPr>
            <w:tcW w:w="3005" w:type="dxa"/>
          </w:tcPr>
          <w:p w14:paraId="1CF23354" w14:textId="1E9B8493" w:rsidR="00C40FF9" w:rsidRPr="00567768" w:rsidRDefault="00567768" w:rsidP="0082544A">
            <w:pPr>
              <w:rPr>
                <w:sz w:val="24"/>
                <w:szCs w:val="24"/>
              </w:rPr>
            </w:pPr>
            <w:r>
              <w:rPr>
                <w:sz w:val="24"/>
                <w:szCs w:val="24"/>
              </w:rPr>
              <w:t xml:space="preserve">Purpose </w:t>
            </w:r>
          </w:p>
        </w:tc>
        <w:tc>
          <w:tcPr>
            <w:tcW w:w="3005" w:type="dxa"/>
          </w:tcPr>
          <w:p w14:paraId="12A7E8F9" w14:textId="1EC88A94" w:rsidR="00C40FF9" w:rsidRPr="00567768" w:rsidRDefault="00567768" w:rsidP="0082544A">
            <w:pPr>
              <w:rPr>
                <w:sz w:val="24"/>
                <w:szCs w:val="24"/>
              </w:rPr>
            </w:pPr>
            <w:r>
              <w:rPr>
                <w:sz w:val="24"/>
                <w:szCs w:val="24"/>
              </w:rPr>
              <w:t xml:space="preserve">Strategic planning </w:t>
            </w:r>
          </w:p>
        </w:tc>
        <w:tc>
          <w:tcPr>
            <w:tcW w:w="3006" w:type="dxa"/>
          </w:tcPr>
          <w:p w14:paraId="4EA1488F" w14:textId="6CCA763B" w:rsidR="00C40FF9" w:rsidRPr="00567768" w:rsidRDefault="00567768" w:rsidP="0082544A">
            <w:pPr>
              <w:rPr>
                <w:sz w:val="24"/>
                <w:szCs w:val="24"/>
              </w:rPr>
            </w:pPr>
            <w:r>
              <w:rPr>
                <w:sz w:val="24"/>
                <w:szCs w:val="24"/>
              </w:rPr>
              <w:t xml:space="preserve">Affordable housing delivery </w:t>
            </w:r>
          </w:p>
        </w:tc>
      </w:tr>
      <w:tr w:rsidR="00C40FF9" w:rsidRPr="00C40FF9" w14:paraId="2DEB027A" w14:textId="77777777" w:rsidTr="00C40FF9">
        <w:tc>
          <w:tcPr>
            <w:tcW w:w="3005" w:type="dxa"/>
          </w:tcPr>
          <w:p w14:paraId="17790173" w14:textId="1E2902ED" w:rsidR="00C40FF9" w:rsidRPr="00567768" w:rsidRDefault="00567768" w:rsidP="0082544A">
            <w:pPr>
              <w:rPr>
                <w:sz w:val="24"/>
                <w:szCs w:val="24"/>
              </w:rPr>
            </w:pPr>
            <w:r>
              <w:rPr>
                <w:sz w:val="24"/>
                <w:szCs w:val="24"/>
              </w:rPr>
              <w:t xml:space="preserve">Cost </w:t>
            </w:r>
          </w:p>
        </w:tc>
        <w:tc>
          <w:tcPr>
            <w:tcW w:w="3005" w:type="dxa"/>
          </w:tcPr>
          <w:p w14:paraId="18395625" w14:textId="16A26865" w:rsidR="00C40FF9" w:rsidRPr="00567768" w:rsidRDefault="00567768" w:rsidP="0082544A">
            <w:pPr>
              <w:rPr>
                <w:sz w:val="24"/>
                <w:szCs w:val="24"/>
              </w:rPr>
            </w:pPr>
            <w:r>
              <w:rPr>
                <w:sz w:val="24"/>
                <w:szCs w:val="24"/>
              </w:rPr>
              <w:t>£20,000+</w:t>
            </w:r>
          </w:p>
        </w:tc>
        <w:tc>
          <w:tcPr>
            <w:tcW w:w="3006" w:type="dxa"/>
          </w:tcPr>
          <w:p w14:paraId="6AAA9A36" w14:textId="366C0993" w:rsidR="00C40FF9" w:rsidRPr="00567768" w:rsidRDefault="00567768" w:rsidP="0082544A">
            <w:pPr>
              <w:rPr>
                <w:sz w:val="24"/>
                <w:szCs w:val="24"/>
              </w:rPr>
            </w:pPr>
            <w:r>
              <w:rPr>
                <w:sz w:val="24"/>
                <w:szCs w:val="24"/>
              </w:rPr>
              <w:t>£3,000</w:t>
            </w:r>
          </w:p>
        </w:tc>
      </w:tr>
      <w:tr w:rsidR="00C40FF9" w:rsidRPr="00C40FF9" w14:paraId="77D85EFA" w14:textId="77777777" w:rsidTr="00C40FF9">
        <w:tc>
          <w:tcPr>
            <w:tcW w:w="3005" w:type="dxa"/>
          </w:tcPr>
          <w:p w14:paraId="2BCADBA3" w14:textId="6C9F196E" w:rsidR="00C40FF9" w:rsidRPr="00567768" w:rsidRDefault="00567768" w:rsidP="0082544A">
            <w:pPr>
              <w:rPr>
                <w:sz w:val="24"/>
                <w:szCs w:val="24"/>
              </w:rPr>
            </w:pPr>
            <w:r>
              <w:rPr>
                <w:sz w:val="24"/>
                <w:szCs w:val="24"/>
              </w:rPr>
              <w:t xml:space="preserve">Timescale </w:t>
            </w:r>
          </w:p>
        </w:tc>
        <w:tc>
          <w:tcPr>
            <w:tcW w:w="3005" w:type="dxa"/>
          </w:tcPr>
          <w:p w14:paraId="2058C379" w14:textId="57FD9FF7" w:rsidR="00C40FF9" w:rsidRPr="00567768" w:rsidRDefault="00567768" w:rsidP="0082544A">
            <w:pPr>
              <w:rPr>
                <w:sz w:val="24"/>
                <w:szCs w:val="24"/>
              </w:rPr>
            </w:pPr>
            <w:r>
              <w:rPr>
                <w:sz w:val="24"/>
                <w:szCs w:val="24"/>
              </w:rPr>
              <w:t xml:space="preserve">20 months – 4 years </w:t>
            </w:r>
          </w:p>
        </w:tc>
        <w:tc>
          <w:tcPr>
            <w:tcW w:w="3006" w:type="dxa"/>
          </w:tcPr>
          <w:p w14:paraId="084FC8D6" w14:textId="47803F8A" w:rsidR="00C40FF9" w:rsidRPr="00567768" w:rsidRDefault="00567768" w:rsidP="0082544A">
            <w:pPr>
              <w:rPr>
                <w:sz w:val="24"/>
                <w:szCs w:val="24"/>
              </w:rPr>
            </w:pPr>
            <w:r>
              <w:rPr>
                <w:sz w:val="24"/>
                <w:szCs w:val="24"/>
              </w:rPr>
              <w:t xml:space="preserve">12 weeks – 1 year </w:t>
            </w:r>
          </w:p>
        </w:tc>
      </w:tr>
      <w:tr w:rsidR="00C40FF9" w:rsidRPr="00C40FF9" w14:paraId="23972976" w14:textId="77777777" w:rsidTr="00C40FF9">
        <w:tc>
          <w:tcPr>
            <w:tcW w:w="3005" w:type="dxa"/>
          </w:tcPr>
          <w:p w14:paraId="42C0A796" w14:textId="795BF653" w:rsidR="00C40FF9" w:rsidRPr="00567768" w:rsidRDefault="00567768" w:rsidP="0082544A">
            <w:pPr>
              <w:rPr>
                <w:sz w:val="24"/>
                <w:szCs w:val="24"/>
              </w:rPr>
            </w:pPr>
            <w:r>
              <w:rPr>
                <w:sz w:val="24"/>
                <w:szCs w:val="24"/>
              </w:rPr>
              <w:t xml:space="preserve">Housing delivery </w:t>
            </w:r>
          </w:p>
        </w:tc>
        <w:tc>
          <w:tcPr>
            <w:tcW w:w="3005" w:type="dxa"/>
          </w:tcPr>
          <w:p w14:paraId="73EA0E9D" w14:textId="17834C69" w:rsidR="00C40FF9" w:rsidRPr="00567768" w:rsidRDefault="00567768" w:rsidP="0082544A">
            <w:pPr>
              <w:rPr>
                <w:sz w:val="24"/>
                <w:szCs w:val="24"/>
              </w:rPr>
            </w:pPr>
            <w:r>
              <w:rPr>
                <w:sz w:val="24"/>
                <w:szCs w:val="24"/>
              </w:rPr>
              <w:t xml:space="preserve">Indirect </w:t>
            </w:r>
          </w:p>
        </w:tc>
        <w:tc>
          <w:tcPr>
            <w:tcW w:w="3006" w:type="dxa"/>
          </w:tcPr>
          <w:p w14:paraId="753F972A" w14:textId="069B6722" w:rsidR="00C40FF9" w:rsidRPr="00567768" w:rsidRDefault="00567768" w:rsidP="0082544A">
            <w:pPr>
              <w:rPr>
                <w:sz w:val="24"/>
                <w:szCs w:val="24"/>
              </w:rPr>
            </w:pPr>
            <w:r>
              <w:rPr>
                <w:sz w:val="24"/>
                <w:szCs w:val="24"/>
              </w:rPr>
              <w:t xml:space="preserve">Direct </w:t>
            </w:r>
          </w:p>
        </w:tc>
      </w:tr>
      <w:tr w:rsidR="00C40FF9" w:rsidRPr="00C40FF9" w14:paraId="2567E5BD" w14:textId="77777777" w:rsidTr="00C40FF9">
        <w:tc>
          <w:tcPr>
            <w:tcW w:w="3005" w:type="dxa"/>
          </w:tcPr>
          <w:p w14:paraId="791E4970" w14:textId="12636020" w:rsidR="00C40FF9" w:rsidRPr="00567768" w:rsidRDefault="00567768" w:rsidP="0082544A">
            <w:pPr>
              <w:rPr>
                <w:sz w:val="24"/>
                <w:szCs w:val="24"/>
              </w:rPr>
            </w:pPr>
            <w:r>
              <w:rPr>
                <w:sz w:val="24"/>
                <w:szCs w:val="24"/>
              </w:rPr>
              <w:t xml:space="preserve">Affordable housing </w:t>
            </w:r>
          </w:p>
        </w:tc>
        <w:tc>
          <w:tcPr>
            <w:tcW w:w="3005" w:type="dxa"/>
          </w:tcPr>
          <w:p w14:paraId="19F44906" w14:textId="1EF188A8" w:rsidR="00C40FF9" w:rsidRPr="00567768" w:rsidRDefault="00567768" w:rsidP="0082544A">
            <w:pPr>
              <w:rPr>
                <w:sz w:val="24"/>
                <w:szCs w:val="24"/>
              </w:rPr>
            </w:pPr>
            <w:r>
              <w:rPr>
                <w:sz w:val="24"/>
                <w:szCs w:val="24"/>
              </w:rPr>
              <w:t xml:space="preserve">Not guaranteed </w:t>
            </w:r>
          </w:p>
        </w:tc>
        <w:tc>
          <w:tcPr>
            <w:tcW w:w="3006" w:type="dxa"/>
          </w:tcPr>
          <w:p w14:paraId="4BA21E0E" w14:textId="5CA85C91" w:rsidR="00C40FF9" w:rsidRPr="00567768" w:rsidRDefault="00567768" w:rsidP="0082544A">
            <w:pPr>
              <w:rPr>
                <w:sz w:val="24"/>
                <w:szCs w:val="24"/>
              </w:rPr>
            </w:pPr>
            <w:r>
              <w:rPr>
                <w:sz w:val="24"/>
                <w:szCs w:val="24"/>
              </w:rPr>
              <w:t xml:space="preserve">Guaranteed focus </w:t>
            </w:r>
          </w:p>
        </w:tc>
      </w:tr>
      <w:tr w:rsidR="00567768" w:rsidRPr="00C40FF9" w14:paraId="33C36E3A" w14:textId="77777777" w:rsidTr="00C40FF9">
        <w:tc>
          <w:tcPr>
            <w:tcW w:w="3005" w:type="dxa"/>
          </w:tcPr>
          <w:p w14:paraId="7092CC8A" w14:textId="04B54E18" w:rsidR="00567768" w:rsidRPr="00567768" w:rsidRDefault="00567768" w:rsidP="0082544A">
            <w:pPr>
              <w:rPr>
                <w:sz w:val="24"/>
                <w:szCs w:val="24"/>
              </w:rPr>
            </w:pPr>
            <w:r>
              <w:rPr>
                <w:sz w:val="24"/>
                <w:szCs w:val="24"/>
              </w:rPr>
              <w:t xml:space="preserve">Control </w:t>
            </w:r>
          </w:p>
        </w:tc>
        <w:tc>
          <w:tcPr>
            <w:tcW w:w="3005" w:type="dxa"/>
          </w:tcPr>
          <w:p w14:paraId="4ABDC7B6" w14:textId="00F295AA" w:rsidR="00567768" w:rsidRPr="00567768" w:rsidRDefault="00567768" w:rsidP="0082544A">
            <w:pPr>
              <w:rPr>
                <w:sz w:val="24"/>
                <w:szCs w:val="24"/>
              </w:rPr>
            </w:pPr>
            <w:r>
              <w:rPr>
                <w:sz w:val="24"/>
                <w:szCs w:val="24"/>
              </w:rPr>
              <w:t xml:space="preserve">Design and policy </w:t>
            </w:r>
          </w:p>
        </w:tc>
        <w:tc>
          <w:tcPr>
            <w:tcW w:w="3006" w:type="dxa"/>
          </w:tcPr>
          <w:p w14:paraId="6DA37B70" w14:textId="470157AB" w:rsidR="00567768" w:rsidRPr="00567768" w:rsidRDefault="00567768" w:rsidP="0082544A">
            <w:pPr>
              <w:rPr>
                <w:sz w:val="24"/>
                <w:szCs w:val="24"/>
              </w:rPr>
            </w:pPr>
            <w:r>
              <w:rPr>
                <w:sz w:val="24"/>
                <w:szCs w:val="24"/>
              </w:rPr>
              <w:t xml:space="preserve">Limited but targeted </w:t>
            </w:r>
          </w:p>
        </w:tc>
      </w:tr>
      <w:tr w:rsidR="00567768" w:rsidRPr="00C40FF9" w14:paraId="117D6B14" w14:textId="77777777" w:rsidTr="00C40FF9">
        <w:tc>
          <w:tcPr>
            <w:tcW w:w="3005" w:type="dxa"/>
          </w:tcPr>
          <w:p w14:paraId="0637C564" w14:textId="1BCB5817" w:rsidR="00567768" w:rsidRPr="00567768" w:rsidRDefault="00567768" w:rsidP="0082544A">
            <w:pPr>
              <w:rPr>
                <w:sz w:val="24"/>
                <w:szCs w:val="24"/>
              </w:rPr>
            </w:pPr>
            <w:r>
              <w:rPr>
                <w:sz w:val="24"/>
                <w:szCs w:val="24"/>
              </w:rPr>
              <w:t xml:space="preserve">Suitability </w:t>
            </w:r>
          </w:p>
        </w:tc>
        <w:tc>
          <w:tcPr>
            <w:tcW w:w="3005" w:type="dxa"/>
          </w:tcPr>
          <w:p w14:paraId="249C2EAC" w14:textId="22B7493E" w:rsidR="00567768" w:rsidRPr="00567768" w:rsidRDefault="00567768" w:rsidP="0082544A">
            <w:pPr>
              <w:rPr>
                <w:sz w:val="24"/>
                <w:szCs w:val="24"/>
              </w:rPr>
            </w:pPr>
            <w:r>
              <w:rPr>
                <w:sz w:val="24"/>
                <w:szCs w:val="24"/>
              </w:rPr>
              <w:t xml:space="preserve">Broad planning </w:t>
            </w:r>
          </w:p>
        </w:tc>
        <w:tc>
          <w:tcPr>
            <w:tcW w:w="3006" w:type="dxa"/>
          </w:tcPr>
          <w:p w14:paraId="16B74FCF" w14:textId="2B0C08C2" w:rsidR="00567768" w:rsidRPr="00567768" w:rsidRDefault="00567768" w:rsidP="0082544A">
            <w:pPr>
              <w:rPr>
                <w:sz w:val="24"/>
                <w:szCs w:val="24"/>
              </w:rPr>
            </w:pPr>
            <w:r>
              <w:rPr>
                <w:sz w:val="24"/>
                <w:szCs w:val="24"/>
              </w:rPr>
              <w:t xml:space="preserve">Small rural communities </w:t>
            </w:r>
          </w:p>
        </w:tc>
      </w:tr>
    </w:tbl>
    <w:p w14:paraId="28D1F711" w14:textId="77777777" w:rsidR="00C40FF9" w:rsidRDefault="00C40FF9" w:rsidP="0082544A">
      <w:pPr>
        <w:rPr>
          <w:b/>
          <w:bCs/>
          <w:sz w:val="28"/>
          <w:szCs w:val="28"/>
        </w:rPr>
      </w:pPr>
    </w:p>
    <w:p w14:paraId="49546F4A" w14:textId="70820BA4" w:rsidR="00567768" w:rsidRDefault="00567768" w:rsidP="0082544A">
      <w:pPr>
        <w:rPr>
          <w:b/>
          <w:bCs/>
          <w:sz w:val="28"/>
          <w:szCs w:val="28"/>
        </w:rPr>
      </w:pPr>
      <w:r>
        <w:rPr>
          <w:b/>
          <w:bCs/>
          <w:sz w:val="28"/>
          <w:szCs w:val="28"/>
        </w:rPr>
        <w:lastRenderedPageBreak/>
        <w:t xml:space="preserve">Conclusions and strategic direction </w:t>
      </w:r>
    </w:p>
    <w:p w14:paraId="190232A6" w14:textId="394F3E2B" w:rsidR="00567768" w:rsidRDefault="00567768" w:rsidP="0082544A">
      <w:pPr>
        <w:rPr>
          <w:sz w:val="24"/>
          <w:szCs w:val="24"/>
        </w:rPr>
      </w:pPr>
      <w:r>
        <w:rPr>
          <w:sz w:val="24"/>
          <w:szCs w:val="24"/>
        </w:rPr>
        <w:t xml:space="preserve">For Barling Magna and Sutton Parishes, the distinction is clear: </w:t>
      </w:r>
    </w:p>
    <w:p w14:paraId="0CB41669" w14:textId="7E07A521" w:rsidR="00567768" w:rsidRDefault="00567768" w:rsidP="00567768">
      <w:pPr>
        <w:pStyle w:val="ListParagraph"/>
        <w:numPr>
          <w:ilvl w:val="0"/>
          <w:numId w:val="5"/>
        </w:numPr>
        <w:rPr>
          <w:sz w:val="24"/>
          <w:szCs w:val="24"/>
        </w:rPr>
      </w:pPr>
      <w:r>
        <w:rPr>
          <w:sz w:val="24"/>
          <w:szCs w:val="24"/>
        </w:rPr>
        <w:t xml:space="preserve">A neighbourhood plan is a long term, resource intensive planning tool that shapes development but does not deliver housing directly. </w:t>
      </w:r>
    </w:p>
    <w:p w14:paraId="4F36D676" w14:textId="0E4F194D" w:rsidR="00567768" w:rsidRDefault="00567768" w:rsidP="00567768">
      <w:pPr>
        <w:pStyle w:val="ListParagraph"/>
        <w:numPr>
          <w:ilvl w:val="0"/>
          <w:numId w:val="5"/>
        </w:numPr>
        <w:rPr>
          <w:sz w:val="24"/>
          <w:szCs w:val="24"/>
        </w:rPr>
      </w:pPr>
      <w:r>
        <w:rPr>
          <w:sz w:val="24"/>
          <w:szCs w:val="24"/>
        </w:rPr>
        <w:t xml:space="preserve">A rural exception site is a focused, cost-effective delivery mechanism that provides affordable housing for local people. </w:t>
      </w:r>
    </w:p>
    <w:p w14:paraId="343A7F4F" w14:textId="5242B22B" w:rsidR="00567768" w:rsidRDefault="00567768" w:rsidP="00567768">
      <w:pPr>
        <w:rPr>
          <w:sz w:val="24"/>
          <w:szCs w:val="24"/>
        </w:rPr>
      </w:pPr>
      <w:r>
        <w:rPr>
          <w:sz w:val="24"/>
          <w:szCs w:val="24"/>
        </w:rPr>
        <w:t xml:space="preserve">Given the small rural scale of both parishes, the clear affordability challenges and the lower cost and faster delivery, a rural exception site approach is likely to provide the most immediate and tangible benefit if the objective is to meet local housing need. </w:t>
      </w:r>
    </w:p>
    <w:p w14:paraId="6F0D8CEB" w14:textId="17106728" w:rsidR="00567768" w:rsidRDefault="00567768" w:rsidP="00567768">
      <w:pPr>
        <w:rPr>
          <w:sz w:val="24"/>
          <w:szCs w:val="24"/>
        </w:rPr>
      </w:pPr>
      <w:r>
        <w:rPr>
          <w:sz w:val="24"/>
          <w:szCs w:val="24"/>
        </w:rPr>
        <w:t xml:space="preserve">However, a neighbourhood plan may still be appropriate where there is a desire to shape long term development, influence design and character and establish broader planning policies. </w:t>
      </w:r>
    </w:p>
    <w:p w14:paraId="786D42E4" w14:textId="06334414" w:rsidR="00537588" w:rsidRDefault="00537588" w:rsidP="00567768">
      <w:pPr>
        <w:rPr>
          <w:b/>
          <w:bCs/>
          <w:sz w:val="28"/>
          <w:szCs w:val="28"/>
        </w:rPr>
      </w:pPr>
      <w:r>
        <w:rPr>
          <w:b/>
          <w:bCs/>
          <w:sz w:val="28"/>
          <w:szCs w:val="28"/>
        </w:rPr>
        <w:t xml:space="preserve">Useful links </w:t>
      </w:r>
    </w:p>
    <w:p w14:paraId="34F198E6" w14:textId="0C5D2603" w:rsidR="00537588" w:rsidRDefault="00537588" w:rsidP="00567768">
      <w:pPr>
        <w:rPr>
          <w:b/>
          <w:bCs/>
          <w:sz w:val="28"/>
          <w:szCs w:val="28"/>
        </w:rPr>
      </w:pPr>
      <w:hyperlink r:id="rId5" w:history="1">
        <w:r w:rsidRPr="002D19F6">
          <w:rPr>
            <w:rStyle w:val="Hyperlink"/>
            <w:b/>
            <w:bCs/>
            <w:sz w:val="28"/>
            <w:szCs w:val="28"/>
          </w:rPr>
          <w:t>https://www.braintree.gov.uk/directory-record/1062519/feering-neighbourhood-plan-adopted-version-january-2023</w:t>
        </w:r>
      </w:hyperlink>
    </w:p>
    <w:p w14:paraId="406C19FF" w14:textId="40429A06" w:rsidR="00537588" w:rsidRDefault="00B45F3E" w:rsidP="00567768">
      <w:pPr>
        <w:rPr>
          <w:b/>
          <w:bCs/>
          <w:sz w:val="28"/>
          <w:szCs w:val="28"/>
        </w:rPr>
      </w:pPr>
      <w:hyperlink r:id="rId6" w:history="1">
        <w:r w:rsidRPr="002D19F6">
          <w:rPr>
            <w:rStyle w:val="Hyperlink"/>
            <w:b/>
            <w:bCs/>
            <w:sz w:val="28"/>
            <w:szCs w:val="28"/>
          </w:rPr>
          <w:t>https://www.essexrcc.org.uk/news/rcce-oyster-magazine---latest-edition</w:t>
        </w:r>
      </w:hyperlink>
    </w:p>
    <w:p w14:paraId="66239F3F" w14:textId="490892DA" w:rsidR="00B45F3E" w:rsidRDefault="00B45F3E" w:rsidP="00567768">
      <w:pPr>
        <w:rPr>
          <w:b/>
          <w:bCs/>
          <w:sz w:val="28"/>
          <w:szCs w:val="28"/>
        </w:rPr>
      </w:pPr>
      <w:hyperlink r:id="rId7" w:history="1">
        <w:r w:rsidRPr="002D19F6">
          <w:rPr>
            <w:rStyle w:val="Hyperlink"/>
            <w:b/>
            <w:bCs/>
            <w:sz w:val="28"/>
            <w:szCs w:val="28"/>
          </w:rPr>
          <w:t>https://www.essexrcc.org.uk/public/uploads/all/uSFWY8CSJmwroRe9AjHcDkQ70jBv6rogyZAIm01i.pdf</w:t>
        </w:r>
      </w:hyperlink>
    </w:p>
    <w:p w14:paraId="769381A2" w14:textId="77777777" w:rsidR="00B45F3E" w:rsidRPr="00537588" w:rsidRDefault="00B45F3E" w:rsidP="00567768">
      <w:pPr>
        <w:rPr>
          <w:b/>
          <w:bCs/>
          <w:sz w:val="28"/>
          <w:szCs w:val="28"/>
        </w:rPr>
      </w:pPr>
    </w:p>
    <w:sectPr w:rsidR="00B45F3E" w:rsidRPr="00537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C38"/>
    <w:multiLevelType w:val="hybridMultilevel"/>
    <w:tmpl w:val="EED8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70768"/>
    <w:multiLevelType w:val="hybridMultilevel"/>
    <w:tmpl w:val="9FB2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9210F"/>
    <w:multiLevelType w:val="hybridMultilevel"/>
    <w:tmpl w:val="C9C6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84305"/>
    <w:multiLevelType w:val="hybridMultilevel"/>
    <w:tmpl w:val="B616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60BFC"/>
    <w:multiLevelType w:val="hybridMultilevel"/>
    <w:tmpl w:val="03E4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366411">
    <w:abstractNumId w:val="3"/>
  </w:num>
  <w:num w:numId="2" w16cid:durableId="1479569507">
    <w:abstractNumId w:val="2"/>
  </w:num>
  <w:num w:numId="3" w16cid:durableId="1120566177">
    <w:abstractNumId w:val="0"/>
  </w:num>
  <w:num w:numId="4" w16cid:durableId="677927496">
    <w:abstractNumId w:val="1"/>
  </w:num>
  <w:num w:numId="5" w16cid:durableId="122232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4A"/>
    <w:rsid w:val="002C77D7"/>
    <w:rsid w:val="003128F8"/>
    <w:rsid w:val="00387615"/>
    <w:rsid w:val="00537588"/>
    <w:rsid w:val="00567768"/>
    <w:rsid w:val="0082544A"/>
    <w:rsid w:val="0091747E"/>
    <w:rsid w:val="00A41D7F"/>
    <w:rsid w:val="00B45F3E"/>
    <w:rsid w:val="00C40FF9"/>
    <w:rsid w:val="00D925BB"/>
    <w:rsid w:val="00E2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D241"/>
  <w15:chartTrackingRefBased/>
  <w15:docId w15:val="{7F6EE630-E1F8-4C35-840B-BB1DB31D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825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4A"/>
    <w:rPr>
      <w:rFonts w:eastAsiaTheme="majorEastAsia" w:cstheme="majorBidi"/>
      <w:color w:val="272727" w:themeColor="text1" w:themeTint="D8"/>
    </w:rPr>
  </w:style>
  <w:style w:type="paragraph" w:styleId="Title">
    <w:name w:val="Title"/>
    <w:basedOn w:val="Normal"/>
    <w:next w:val="Normal"/>
    <w:link w:val="TitleChar"/>
    <w:uiPriority w:val="10"/>
    <w:qFormat/>
    <w:rsid w:val="00825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4A"/>
    <w:pPr>
      <w:spacing w:before="160"/>
      <w:jc w:val="center"/>
    </w:pPr>
    <w:rPr>
      <w:i/>
      <w:iCs/>
      <w:color w:val="404040" w:themeColor="text1" w:themeTint="BF"/>
    </w:rPr>
  </w:style>
  <w:style w:type="character" w:customStyle="1" w:styleId="QuoteChar">
    <w:name w:val="Quote Char"/>
    <w:basedOn w:val="DefaultParagraphFont"/>
    <w:link w:val="Quote"/>
    <w:uiPriority w:val="29"/>
    <w:rsid w:val="0082544A"/>
    <w:rPr>
      <w:i/>
      <w:iCs/>
      <w:color w:val="404040" w:themeColor="text1" w:themeTint="BF"/>
    </w:rPr>
  </w:style>
  <w:style w:type="paragraph" w:styleId="ListParagraph">
    <w:name w:val="List Paragraph"/>
    <w:basedOn w:val="Normal"/>
    <w:uiPriority w:val="34"/>
    <w:qFormat/>
    <w:rsid w:val="0082544A"/>
    <w:pPr>
      <w:ind w:left="720"/>
      <w:contextualSpacing/>
    </w:pPr>
  </w:style>
  <w:style w:type="character" w:styleId="IntenseEmphasis">
    <w:name w:val="Intense Emphasis"/>
    <w:basedOn w:val="DefaultParagraphFont"/>
    <w:uiPriority w:val="21"/>
    <w:qFormat/>
    <w:rsid w:val="0082544A"/>
    <w:rPr>
      <w:i/>
      <w:iCs/>
      <w:color w:val="0F4761" w:themeColor="accent1" w:themeShade="BF"/>
    </w:rPr>
  </w:style>
  <w:style w:type="paragraph" w:styleId="IntenseQuote">
    <w:name w:val="Intense Quote"/>
    <w:basedOn w:val="Normal"/>
    <w:next w:val="Normal"/>
    <w:link w:val="IntenseQuoteChar"/>
    <w:uiPriority w:val="30"/>
    <w:qFormat/>
    <w:rsid w:val="00825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44A"/>
    <w:rPr>
      <w:i/>
      <w:iCs/>
      <w:color w:val="0F4761" w:themeColor="accent1" w:themeShade="BF"/>
    </w:rPr>
  </w:style>
  <w:style w:type="character" w:styleId="IntenseReference">
    <w:name w:val="Intense Reference"/>
    <w:basedOn w:val="DefaultParagraphFont"/>
    <w:uiPriority w:val="32"/>
    <w:qFormat/>
    <w:rsid w:val="0082544A"/>
    <w:rPr>
      <w:b/>
      <w:bCs/>
      <w:smallCaps/>
      <w:color w:val="0F4761" w:themeColor="accent1" w:themeShade="BF"/>
      <w:spacing w:val="5"/>
    </w:rPr>
  </w:style>
  <w:style w:type="table" w:styleId="TableGrid">
    <w:name w:val="Table Grid"/>
    <w:basedOn w:val="TableNormal"/>
    <w:uiPriority w:val="39"/>
    <w:rsid w:val="00C4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588"/>
    <w:rPr>
      <w:color w:val="467886" w:themeColor="hyperlink"/>
      <w:u w:val="single"/>
    </w:rPr>
  </w:style>
  <w:style w:type="character" w:styleId="UnresolvedMention">
    <w:name w:val="Unresolved Mention"/>
    <w:basedOn w:val="DefaultParagraphFont"/>
    <w:uiPriority w:val="99"/>
    <w:semiHidden/>
    <w:unhideWhenUsed/>
    <w:rsid w:val="0053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rcc.org.uk/public/uploads/all/uSFWY8CSJmwroRe9AjHcDkQ70jBv6rogyZAIm01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rcc.org.uk/news/rcce-oyster-magazine---latest-edition" TargetMode="External"/><Relationship Id="rId5" Type="http://schemas.openxmlformats.org/officeDocument/2006/relationships/hyperlink" Target="https://www.braintree.gov.uk/directory-record/1062519/feering-neighbourhood-plan-adopted-version-january-2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4101</Characters>
  <Application>Microsoft Office Word</Application>
  <DocSecurity>0</DocSecurity>
  <Lines>4101</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2026-03-31T06:52:00Z</dcterms:created>
  <dcterms:modified xsi:type="dcterms:W3CDTF">2026-03-31T06:52:00Z</dcterms:modified>
</cp:coreProperties>
</file>